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4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820"/>
        <w:gridCol w:w="3828"/>
        <w:gridCol w:w="3794"/>
      </w:tblGrid>
      <w:tr w:rsidR="006A7956" w:rsidRPr="00906B05" w14:paraId="77FD5B5A" w14:textId="77777777" w:rsidTr="006A7956">
        <w:trPr>
          <w:cantSplit/>
          <w:trHeight w:val="857"/>
        </w:trPr>
        <w:tc>
          <w:tcPr>
            <w:tcW w:w="2820" w:type="dxa"/>
            <w:vAlign w:val="center"/>
          </w:tcPr>
          <w:p w14:paraId="02EDF0C1" w14:textId="77777777" w:rsidR="006A7956" w:rsidRPr="006A7956" w:rsidRDefault="006A7956" w:rsidP="006A7956">
            <w:pPr>
              <w:jc w:val="center"/>
              <w:rPr>
                <w:rFonts w:ascii="標楷體" w:eastAsia="標楷體" w:hAnsi="標楷體"/>
                <w:sz w:val="32"/>
                <w:szCs w:val="32"/>
              </w:rPr>
            </w:pPr>
            <w:r w:rsidRPr="006A7956">
              <w:rPr>
                <w:rFonts w:ascii="標楷體" w:eastAsia="標楷體" w:hAnsi="標楷體" w:hint="eastAsia"/>
                <w:sz w:val="32"/>
                <w:szCs w:val="32"/>
              </w:rPr>
              <w:t>日期：</w:t>
            </w:r>
            <w:r>
              <w:rPr>
                <w:rFonts w:ascii="標楷體" w:eastAsia="標楷體" w:hAnsi="標楷體" w:hint="eastAsia"/>
                <w:sz w:val="32"/>
                <w:szCs w:val="32"/>
              </w:rPr>
              <w:t>1</w:t>
            </w:r>
            <w:r>
              <w:rPr>
                <w:rFonts w:ascii="標楷體" w:eastAsia="標楷體" w:hAnsi="標楷體"/>
                <w:sz w:val="32"/>
                <w:szCs w:val="32"/>
              </w:rPr>
              <w:t>11/07/25</w:t>
            </w:r>
          </w:p>
        </w:tc>
        <w:tc>
          <w:tcPr>
            <w:tcW w:w="3828" w:type="dxa"/>
            <w:vAlign w:val="center"/>
          </w:tcPr>
          <w:p w14:paraId="7D39CDA3" w14:textId="77777777" w:rsidR="006A7956" w:rsidRPr="006A7956" w:rsidRDefault="006A7956" w:rsidP="00F0345F">
            <w:pPr>
              <w:jc w:val="center"/>
              <w:rPr>
                <w:rFonts w:ascii="標楷體" w:eastAsia="標楷體" w:hAnsi="標楷體"/>
                <w:sz w:val="32"/>
                <w:szCs w:val="32"/>
              </w:rPr>
            </w:pPr>
            <w:r>
              <w:rPr>
                <w:rFonts w:ascii="標楷體" w:eastAsia="標楷體" w:hAnsi="標楷體" w:hint="eastAsia"/>
                <w:sz w:val="32"/>
                <w:szCs w:val="32"/>
              </w:rPr>
              <w:t>區域：</w:t>
            </w:r>
            <w:r w:rsidRPr="006A7956">
              <w:rPr>
                <w:rFonts w:ascii="標楷體" w:eastAsia="標楷體" w:hAnsi="標楷體" w:hint="eastAsia"/>
                <w:sz w:val="32"/>
                <w:szCs w:val="32"/>
              </w:rPr>
              <w:t>汐止區</w:t>
            </w:r>
          </w:p>
        </w:tc>
        <w:tc>
          <w:tcPr>
            <w:tcW w:w="3794" w:type="dxa"/>
            <w:vAlign w:val="center"/>
          </w:tcPr>
          <w:p w14:paraId="2D92E8E5" w14:textId="77777777" w:rsidR="00362E56" w:rsidRPr="006A7956" w:rsidRDefault="006A7956" w:rsidP="006A7956">
            <w:pPr>
              <w:rPr>
                <w:rFonts w:ascii="標楷體" w:eastAsia="標楷體" w:hAnsi="標楷體"/>
                <w:sz w:val="32"/>
                <w:szCs w:val="32"/>
              </w:rPr>
            </w:pPr>
            <w:r>
              <w:rPr>
                <w:rFonts w:ascii="標楷體" w:eastAsia="標楷體" w:hAnsi="標楷體" w:hint="eastAsia"/>
                <w:sz w:val="32"/>
                <w:szCs w:val="32"/>
              </w:rPr>
              <w:t>諮詢委員：林振春</w:t>
            </w:r>
            <w:r w:rsidR="00362E56">
              <w:rPr>
                <w:rFonts w:ascii="標楷體" w:eastAsia="標楷體" w:hAnsi="標楷體" w:hint="eastAsia"/>
                <w:sz w:val="32"/>
                <w:szCs w:val="32"/>
              </w:rPr>
              <w:t>委員</w:t>
            </w:r>
          </w:p>
        </w:tc>
      </w:tr>
      <w:tr w:rsidR="006A7956" w:rsidRPr="00906B05" w14:paraId="05CE10DC" w14:textId="77777777" w:rsidTr="006A7956">
        <w:trPr>
          <w:trHeight w:val="13058"/>
        </w:trPr>
        <w:tc>
          <w:tcPr>
            <w:tcW w:w="10442" w:type="dxa"/>
            <w:gridSpan w:val="3"/>
          </w:tcPr>
          <w:p w14:paraId="673BD8D3" w14:textId="77777777" w:rsidR="006A7956" w:rsidRDefault="0079203D" w:rsidP="006A7956">
            <w:pPr>
              <w:spacing w:line="400" w:lineRule="exact"/>
              <w:rPr>
                <w:rFonts w:ascii="標楷體" w:eastAsia="標楷體" w:hAnsi="標楷體"/>
                <w:sz w:val="32"/>
                <w:szCs w:val="32"/>
              </w:rPr>
            </w:pPr>
            <w:r w:rsidRPr="0079203D">
              <w:rPr>
                <w:rFonts w:ascii="標楷體" w:eastAsia="標楷體" w:hAnsi="標楷體" w:hint="eastAsia"/>
                <w:sz w:val="32"/>
                <w:szCs w:val="32"/>
              </w:rPr>
              <w:t>改善與建議：</w:t>
            </w:r>
          </w:p>
          <w:p w14:paraId="7D3F56E3" w14:textId="01F53243" w:rsidR="00A169C0" w:rsidRPr="00A169C0" w:rsidRDefault="00A169C0" w:rsidP="00A169C0">
            <w:pPr>
              <w:pStyle w:val="a8"/>
              <w:numPr>
                <w:ilvl w:val="0"/>
                <w:numId w:val="2"/>
              </w:numPr>
              <w:spacing w:line="400" w:lineRule="exact"/>
              <w:ind w:leftChars="0"/>
              <w:rPr>
                <w:rFonts w:ascii="標楷體" w:eastAsia="標楷體" w:hAnsi="標楷體"/>
                <w:sz w:val="32"/>
                <w:szCs w:val="32"/>
              </w:rPr>
            </w:pPr>
            <w:r w:rsidRPr="00A169C0">
              <w:rPr>
                <w:rFonts w:ascii="標楷體" w:eastAsia="標楷體" w:hAnsi="標楷體" w:hint="eastAsia"/>
                <w:sz w:val="32"/>
                <w:szCs w:val="32"/>
              </w:rPr>
              <w:t>了解新北市健康城市、宜居城市、智慧城市、韌性城市各屬市府何部門負責</w:t>
            </w:r>
            <w:r w:rsidRPr="00A169C0">
              <w:rPr>
                <w:rFonts w:ascii="新細明體" w:eastAsia="新細明體" w:hAnsi="新細明體" w:hint="eastAsia"/>
                <w:sz w:val="32"/>
                <w:szCs w:val="32"/>
              </w:rPr>
              <w:t>，</w:t>
            </w:r>
            <w:r w:rsidRPr="00A169C0">
              <w:rPr>
                <w:rFonts w:ascii="標楷體" w:eastAsia="標楷體" w:hAnsi="標楷體" w:hint="eastAsia"/>
                <w:sz w:val="32"/>
                <w:szCs w:val="32"/>
              </w:rPr>
              <w:t>各有那些團體組織在執行推動</w:t>
            </w:r>
            <w:r w:rsidRPr="00A169C0">
              <w:rPr>
                <w:rFonts w:ascii="新細明體" w:eastAsia="新細明體" w:hAnsi="新細明體" w:hint="eastAsia"/>
                <w:sz w:val="32"/>
                <w:szCs w:val="32"/>
              </w:rPr>
              <w:t>，</w:t>
            </w:r>
            <w:r w:rsidRPr="00A169C0">
              <w:rPr>
                <w:rFonts w:ascii="標楷體" w:eastAsia="標楷體" w:hAnsi="標楷體" w:hint="eastAsia"/>
                <w:sz w:val="32"/>
                <w:szCs w:val="32"/>
              </w:rPr>
              <w:t>以便進行</w:t>
            </w:r>
            <w:proofErr w:type="gramStart"/>
            <w:r w:rsidRPr="00A169C0">
              <w:rPr>
                <w:rFonts w:ascii="標楷體" w:eastAsia="標楷體" w:hAnsi="標楷體" w:hint="eastAsia"/>
                <w:sz w:val="32"/>
                <w:szCs w:val="32"/>
              </w:rPr>
              <w:t>相互間的分享</w:t>
            </w:r>
            <w:proofErr w:type="gramEnd"/>
            <w:r w:rsidRPr="00A169C0">
              <w:rPr>
                <w:rFonts w:ascii="標楷體" w:eastAsia="標楷體" w:hAnsi="標楷體" w:hint="eastAsia"/>
                <w:sz w:val="32"/>
                <w:szCs w:val="32"/>
              </w:rPr>
              <w:t>與合作。</w:t>
            </w:r>
          </w:p>
          <w:p w14:paraId="46CEC799" w14:textId="77777777" w:rsidR="00A169C0" w:rsidRDefault="00A169C0" w:rsidP="00A169C0">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了解以前新北市執行學習型城市的單位和執行報告</w:t>
            </w:r>
            <w:r>
              <w:rPr>
                <w:rFonts w:ascii="新細明體" w:eastAsia="新細明體" w:hAnsi="新細明體" w:hint="eastAsia"/>
                <w:sz w:val="32"/>
                <w:szCs w:val="32"/>
              </w:rPr>
              <w:t>，</w:t>
            </w:r>
            <w:r>
              <w:rPr>
                <w:rFonts w:ascii="標楷體" w:eastAsia="標楷體" w:hAnsi="標楷體" w:hint="eastAsia"/>
                <w:sz w:val="32"/>
                <w:szCs w:val="32"/>
              </w:rPr>
              <w:t>並親自邀訪負責人員了解其情況與困難</w:t>
            </w:r>
            <w:r>
              <w:rPr>
                <w:rFonts w:ascii="新細明體" w:eastAsia="新細明體" w:hAnsi="新細明體" w:hint="eastAsia"/>
                <w:sz w:val="32"/>
                <w:szCs w:val="32"/>
              </w:rPr>
              <w:t>，</w:t>
            </w:r>
            <w:r>
              <w:rPr>
                <w:rFonts w:ascii="標楷體" w:eastAsia="標楷體" w:hAnsi="標楷體" w:hint="eastAsia"/>
                <w:sz w:val="32"/>
                <w:szCs w:val="32"/>
              </w:rPr>
              <w:t>以提供該有的工作基礎和資源。</w:t>
            </w:r>
          </w:p>
          <w:p w14:paraId="69C59449" w14:textId="77777777" w:rsidR="00A169C0" w:rsidRDefault="003B49C0" w:rsidP="00A169C0">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汐止示範區合作的單位和機構計有1</w:t>
            </w:r>
            <w:r>
              <w:rPr>
                <w:rFonts w:ascii="標楷體" w:eastAsia="標楷體" w:hAnsi="標楷體"/>
                <w:sz w:val="32"/>
                <w:szCs w:val="32"/>
              </w:rPr>
              <w:t>4</w:t>
            </w:r>
            <w:r>
              <w:rPr>
                <w:rFonts w:ascii="標楷體" w:eastAsia="標楷體" w:hAnsi="標楷體" w:hint="eastAsia"/>
                <w:sz w:val="32"/>
                <w:szCs w:val="32"/>
              </w:rPr>
              <w:t>個</w:t>
            </w:r>
            <w:r>
              <w:rPr>
                <w:rFonts w:ascii="新細明體" w:eastAsia="新細明體" w:hAnsi="新細明體" w:hint="eastAsia"/>
                <w:sz w:val="32"/>
                <w:szCs w:val="32"/>
              </w:rPr>
              <w:t>，</w:t>
            </w:r>
            <w:r>
              <w:rPr>
                <w:rFonts w:ascii="標楷體" w:eastAsia="標楷體" w:hAnsi="標楷體" w:hint="eastAsia"/>
                <w:sz w:val="32"/>
                <w:szCs w:val="32"/>
              </w:rPr>
              <w:t>應該區分成政府部門、教育領域、企業部門、社會團體和基金會</w:t>
            </w:r>
            <w:r>
              <w:rPr>
                <w:rFonts w:ascii="新細明體" w:eastAsia="新細明體" w:hAnsi="新細明體" w:hint="eastAsia"/>
                <w:sz w:val="32"/>
                <w:szCs w:val="32"/>
              </w:rPr>
              <w:t>，</w:t>
            </w:r>
            <w:r>
              <w:rPr>
                <w:rFonts w:ascii="標楷體" w:eastAsia="標楷體" w:hAnsi="標楷體" w:hint="eastAsia"/>
                <w:sz w:val="32"/>
                <w:szCs w:val="32"/>
              </w:rPr>
              <w:t>以分配四大主軸</w:t>
            </w:r>
            <w:r>
              <w:rPr>
                <w:rFonts w:ascii="新細明體" w:eastAsia="新細明體" w:hAnsi="新細明體" w:hint="eastAsia"/>
                <w:sz w:val="32"/>
                <w:szCs w:val="32"/>
              </w:rPr>
              <w:t>，</w:t>
            </w:r>
            <w:r>
              <w:rPr>
                <w:rFonts w:ascii="標楷體" w:eastAsia="標楷體" w:hAnsi="標楷體" w:hint="eastAsia"/>
                <w:sz w:val="32"/>
                <w:szCs w:val="32"/>
              </w:rPr>
              <w:t>並找出四大主軸(韌性城市、</w:t>
            </w:r>
            <w:r w:rsidRPr="00A169C0">
              <w:rPr>
                <w:rFonts w:ascii="標楷體" w:eastAsia="標楷體" w:hAnsi="標楷體" w:hint="eastAsia"/>
                <w:sz w:val="32"/>
                <w:szCs w:val="32"/>
              </w:rPr>
              <w:t>健康城市、宜居城市、智慧城市</w:t>
            </w:r>
            <w:r>
              <w:rPr>
                <w:rFonts w:ascii="標楷體" w:eastAsia="標楷體" w:hAnsi="標楷體" w:hint="eastAsia"/>
                <w:sz w:val="32"/>
                <w:szCs w:val="32"/>
              </w:rPr>
              <w:t>)的主要負責執行機構</w:t>
            </w:r>
            <w:r>
              <w:rPr>
                <w:rFonts w:ascii="新細明體" w:eastAsia="新細明體" w:hAnsi="新細明體" w:hint="eastAsia"/>
                <w:sz w:val="32"/>
                <w:szCs w:val="32"/>
              </w:rPr>
              <w:t>，</w:t>
            </w:r>
            <w:r>
              <w:rPr>
                <w:rFonts w:ascii="標楷體" w:eastAsia="標楷體" w:hAnsi="標楷體" w:hint="eastAsia"/>
                <w:sz w:val="32"/>
                <w:szCs w:val="32"/>
              </w:rPr>
              <w:t>才能有益於後續工作的推動。</w:t>
            </w:r>
          </w:p>
          <w:p w14:paraId="768A2667" w14:textId="77777777" w:rsidR="003B49C0" w:rsidRDefault="003B49C0" w:rsidP="00A169C0">
            <w:pPr>
              <w:pStyle w:val="a8"/>
              <w:numPr>
                <w:ilvl w:val="0"/>
                <w:numId w:val="2"/>
              </w:numPr>
              <w:spacing w:line="400" w:lineRule="exact"/>
              <w:ind w:leftChars="0"/>
              <w:rPr>
                <w:rFonts w:ascii="標楷體" w:eastAsia="標楷體" w:hAnsi="標楷體"/>
                <w:sz w:val="32"/>
                <w:szCs w:val="32"/>
              </w:rPr>
            </w:pPr>
            <w:r>
              <w:rPr>
                <w:rFonts w:ascii="標楷體" w:eastAsia="標楷體" w:hAnsi="標楷體" w:hint="eastAsia"/>
                <w:sz w:val="32"/>
                <w:szCs w:val="32"/>
              </w:rPr>
              <w:t>當前的主要工作大都是開班授課</w:t>
            </w:r>
            <w:r>
              <w:rPr>
                <w:rFonts w:ascii="新細明體" w:eastAsia="新細明體" w:hAnsi="新細明體" w:hint="eastAsia"/>
                <w:sz w:val="32"/>
                <w:szCs w:val="32"/>
              </w:rPr>
              <w:t>，</w:t>
            </w:r>
            <w:r>
              <w:rPr>
                <w:rFonts w:ascii="標楷體" w:eastAsia="標楷體" w:hAnsi="標楷體" w:hint="eastAsia"/>
                <w:sz w:val="32"/>
                <w:szCs w:val="32"/>
              </w:rPr>
              <w:t>但是對於找何人當講師</w:t>
            </w:r>
            <w:r>
              <w:rPr>
                <w:rFonts w:ascii="新細明體" w:eastAsia="新細明體" w:hAnsi="新細明體" w:hint="eastAsia"/>
                <w:sz w:val="32"/>
                <w:szCs w:val="32"/>
              </w:rPr>
              <w:t>？</w:t>
            </w:r>
            <w:r>
              <w:rPr>
                <w:rFonts w:ascii="標楷體" w:eastAsia="標楷體" w:hAnsi="標楷體" w:hint="eastAsia"/>
                <w:sz w:val="32"/>
                <w:szCs w:val="32"/>
              </w:rPr>
              <w:t>找何人當學員</w:t>
            </w:r>
            <w:r>
              <w:rPr>
                <w:rFonts w:ascii="新細明體" w:eastAsia="新細明體" w:hAnsi="新細明體" w:hint="eastAsia"/>
                <w:sz w:val="32"/>
                <w:szCs w:val="32"/>
              </w:rPr>
              <w:t>？</w:t>
            </w:r>
            <w:r w:rsidR="00EE330A">
              <w:rPr>
                <w:rFonts w:ascii="標楷體" w:eastAsia="標楷體" w:hAnsi="標楷體" w:hint="eastAsia"/>
                <w:sz w:val="32"/>
                <w:szCs w:val="32"/>
              </w:rPr>
              <w:t>以及這些講師和學員在課程結束之後</w:t>
            </w:r>
            <w:r w:rsidR="00EE330A">
              <w:rPr>
                <w:rFonts w:ascii="新細明體" w:eastAsia="新細明體" w:hAnsi="新細明體" w:hint="eastAsia"/>
                <w:sz w:val="32"/>
                <w:szCs w:val="32"/>
              </w:rPr>
              <w:t>，</w:t>
            </w:r>
            <w:r w:rsidR="00EE330A">
              <w:rPr>
                <w:rFonts w:ascii="標楷體" w:eastAsia="標楷體" w:hAnsi="標楷體" w:hint="eastAsia"/>
                <w:sz w:val="32"/>
                <w:szCs w:val="32"/>
              </w:rPr>
              <w:t>能夠擔負何種推動學習型城市的腳色</w:t>
            </w:r>
            <w:r w:rsidR="00EE330A">
              <w:rPr>
                <w:rFonts w:ascii="新細明體" w:eastAsia="新細明體" w:hAnsi="新細明體" w:hint="eastAsia"/>
                <w:sz w:val="32"/>
                <w:szCs w:val="32"/>
              </w:rPr>
              <w:t>，</w:t>
            </w:r>
            <w:r w:rsidR="00EE330A">
              <w:rPr>
                <w:rFonts w:ascii="標楷體" w:eastAsia="標楷體" w:hAnsi="標楷體" w:hint="eastAsia"/>
                <w:sz w:val="32"/>
                <w:szCs w:val="32"/>
              </w:rPr>
              <w:t>卻沒有任何規劃</w:t>
            </w:r>
            <w:r w:rsidR="00EE330A">
              <w:rPr>
                <w:rFonts w:ascii="新細明體" w:eastAsia="新細明體" w:hAnsi="新細明體" w:hint="eastAsia"/>
                <w:sz w:val="32"/>
                <w:szCs w:val="32"/>
              </w:rPr>
              <w:t>，</w:t>
            </w:r>
            <w:r w:rsidR="00EE330A">
              <w:rPr>
                <w:rFonts w:ascii="標楷體" w:eastAsia="標楷體" w:hAnsi="標楷體" w:hint="eastAsia"/>
                <w:sz w:val="32"/>
                <w:szCs w:val="32"/>
              </w:rPr>
              <w:t>純粹</w:t>
            </w:r>
            <w:proofErr w:type="gramStart"/>
            <w:r w:rsidR="00EE330A">
              <w:rPr>
                <w:rFonts w:ascii="標楷體" w:eastAsia="標楷體" w:hAnsi="標楷體" w:hint="eastAsia"/>
                <w:sz w:val="32"/>
                <w:szCs w:val="32"/>
              </w:rPr>
              <w:t>只是提共學習</w:t>
            </w:r>
            <w:proofErr w:type="gramEnd"/>
            <w:r w:rsidR="00EE330A">
              <w:rPr>
                <w:rFonts w:ascii="標楷體" w:eastAsia="標楷體" w:hAnsi="標楷體" w:hint="eastAsia"/>
                <w:sz w:val="32"/>
                <w:szCs w:val="32"/>
              </w:rPr>
              <w:t>機會的滿足</w:t>
            </w:r>
            <w:r w:rsidR="00EE330A">
              <w:rPr>
                <w:rFonts w:ascii="新細明體" w:eastAsia="新細明體" w:hAnsi="新細明體" w:hint="eastAsia"/>
                <w:sz w:val="32"/>
                <w:szCs w:val="32"/>
              </w:rPr>
              <w:t>，</w:t>
            </w:r>
            <w:r w:rsidR="00EE330A">
              <w:rPr>
                <w:rFonts w:ascii="標楷體" w:eastAsia="標楷體" w:hAnsi="標楷體" w:hint="eastAsia"/>
                <w:sz w:val="32"/>
                <w:szCs w:val="32"/>
              </w:rPr>
              <w:t>無法永續推動學習型城市。第一年培訓的目標應該著重在種子師資與領導人才的培育</w:t>
            </w:r>
            <w:r w:rsidR="00EE330A">
              <w:rPr>
                <w:rFonts w:ascii="新細明體" w:eastAsia="新細明體" w:hAnsi="新細明體" w:hint="eastAsia"/>
                <w:sz w:val="32"/>
                <w:szCs w:val="32"/>
              </w:rPr>
              <w:t>，</w:t>
            </w:r>
            <w:r w:rsidR="00EE330A">
              <w:rPr>
                <w:rFonts w:ascii="標楷體" w:eastAsia="標楷體" w:hAnsi="標楷體" w:hint="eastAsia"/>
                <w:sz w:val="32"/>
                <w:szCs w:val="32"/>
              </w:rPr>
              <w:t>才能推動四大主軸。因此開的課程須慎重評估、講師須慎重挑選、學員也須慎重挑選。</w:t>
            </w:r>
          </w:p>
          <w:p w14:paraId="4DA67472" w14:textId="27DF86AF" w:rsidR="00EE330A" w:rsidRPr="00A169C0" w:rsidRDefault="009A30AA" w:rsidP="00A169C0">
            <w:pPr>
              <w:pStyle w:val="a8"/>
              <w:numPr>
                <w:ilvl w:val="0"/>
                <w:numId w:val="2"/>
              </w:numPr>
              <w:spacing w:line="400" w:lineRule="exact"/>
              <w:ind w:leftChars="0"/>
              <w:rPr>
                <w:rFonts w:ascii="標楷體" w:eastAsia="標楷體" w:hAnsi="標楷體" w:hint="eastAsia"/>
                <w:sz w:val="32"/>
                <w:szCs w:val="32"/>
              </w:rPr>
            </w:pPr>
            <w:r>
              <w:rPr>
                <w:rFonts w:ascii="標楷體" w:eastAsia="標楷體" w:hAnsi="標楷體" w:hint="eastAsia"/>
                <w:sz w:val="32"/>
                <w:szCs w:val="32"/>
              </w:rPr>
              <w:t>五大區的示範團隊必須要有輔導周邊其他區推動學習型城市的體認</w:t>
            </w:r>
            <w:r>
              <w:rPr>
                <w:rFonts w:ascii="新細明體" w:eastAsia="新細明體" w:hAnsi="新細明體" w:hint="eastAsia"/>
                <w:sz w:val="32"/>
                <w:szCs w:val="32"/>
              </w:rPr>
              <w:t>，</w:t>
            </w:r>
            <w:r>
              <w:rPr>
                <w:rFonts w:ascii="標楷體" w:eastAsia="標楷體" w:hAnsi="標楷體" w:hint="eastAsia"/>
                <w:sz w:val="32"/>
                <w:szCs w:val="32"/>
              </w:rPr>
              <w:t>經驗傳承要有人</w:t>
            </w:r>
            <w:r>
              <w:rPr>
                <w:rFonts w:ascii="新細明體" w:eastAsia="新細明體" w:hAnsi="新細明體" w:hint="eastAsia"/>
                <w:sz w:val="32"/>
                <w:szCs w:val="32"/>
              </w:rPr>
              <w:t>，</w:t>
            </w:r>
            <w:r>
              <w:rPr>
                <w:rFonts w:ascii="標楷體" w:eastAsia="標楷體" w:hAnsi="標楷體" w:hint="eastAsia"/>
                <w:sz w:val="32"/>
                <w:szCs w:val="32"/>
              </w:rPr>
              <w:t>找人來觀摩學習也要考慮；同時也要讓工作團隊的某些成員了解哪些人該負責拓點到周邊行政區。這是推動團隊要有的工作默契。</w:t>
            </w:r>
          </w:p>
        </w:tc>
      </w:tr>
    </w:tbl>
    <w:p w14:paraId="4D697A6C" w14:textId="77777777" w:rsidR="00C852F5" w:rsidRPr="00906B05" w:rsidRDefault="001403B6" w:rsidP="001403B6">
      <w:pPr>
        <w:ind w:right="2160"/>
        <w:rPr>
          <w:rFonts w:ascii="標楷體" w:eastAsia="標楷體" w:hAnsi="標楷體"/>
          <w:b/>
        </w:rPr>
      </w:pPr>
      <w:r w:rsidRPr="00906B05">
        <w:rPr>
          <w:rFonts w:ascii="標楷體" w:eastAsia="標楷體" w:hAnsi="標楷體" w:hint="eastAsia"/>
          <w:b/>
        </w:rPr>
        <w:t xml:space="preserve"> </w:t>
      </w:r>
    </w:p>
    <w:sectPr w:rsidR="00C852F5" w:rsidRPr="00906B05" w:rsidSect="002C51AB">
      <w:headerReference w:type="default" r:id="rId8"/>
      <w:pgSz w:w="11906" w:h="16838"/>
      <w:pgMar w:top="284" w:right="720" w:bottom="284" w:left="720"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1AD5" w14:textId="77777777" w:rsidR="00FB02AD" w:rsidRDefault="00FB02AD" w:rsidP="00D87AC3">
      <w:r>
        <w:separator/>
      </w:r>
    </w:p>
  </w:endnote>
  <w:endnote w:type="continuationSeparator" w:id="0">
    <w:p w14:paraId="2D36905F" w14:textId="77777777" w:rsidR="00FB02AD" w:rsidRDefault="00FB02AD" w:rsidP="00D8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210C" w14:textId="77777777" w:rsidR="00FB02AD" w:rsidRDefault="00FB02AD" w:rsidP="00D87AC3">
      <w:r>
        <w:separator/>
      </w:r>
    </w:p>
  </w:footnote>
  <w:footnote w:type="continuationSeparator" w:id="0">
    <w:p w14:paraId="4EE95EB2" w14:textId="77777777" w:rsidR="00FB02AD" w:rsidRDefault="00FB02AD" w:rsidP="00D8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11D3" w14:textId="77777777" w:rsidR="006A7956" w:rsidRDefault="00906B05" w:rsidP="00906B05">
    <w:pPr>
      <w:pStyle w:val="a4"/>
      <w:jc w:val="center"/>
      <w:rPr>
        <w:rFonts w:ascii="標楷體" w:eastAsia="標楷體" w:hAnsi="標楷體"/>
        <w:sz w:val="32"/>
        <w:szCs w:val="32"/>
      </w:rPr>
    </w:pPr>
    <w:proofErr w:type="gramStart"/>
    <w:r w:rsidRPr="006A7956">
      <w:rPr>
        <w:rFonts w:ascii="標楷體" w:eastAsia="標楷體" w:hAnsi="標楷體" w:hint="eastAsia"/>
        <w:sz w:val="32"/>
        <w:szCs w:val="32"/>
      </w:rPr>
      <w:t>11</w:t>
    </w:r>
    <w:r w:rsidR="002C51AB" w:rsidRPr="006A7956">
      <w:rPr>
        <w:rFonts w:ascii="標楷體" w:eastAsia="標楷體" w:hAnsi="標楷體"/>
        <w:sz w:val="32"/>
        <w:szCs w:val="32"/>
      </w:rPr>
      <w:t>1</w:t>
    </w:r>
    <w:proofErr w:type="gramEnd"/>
    <w:r w:rsidR="000D0EAD" w:rsidRPr="006A7956">
      <w:rPr>
        <w:rFonts w:ascii="標楷體" w:eastAsia="標楷體" w:hAnsi="標楷體" w:hint="eastAsia"/>
        <w:sz w:val="32"/>
        <w:szCs w:val="32"/>
      </w:rPr>
      <w:t>年度</w:t>
    </w:r>
    <w:r w:rsidR="006A7956" w:rsidRPr="006A7956">
      <w:rPr>
        <w:rFonts w:ascii="標楷體" w:eastAsia="標楷體" w:hAnsi="標楷體" w:hint="eastAsia"/>
        <w:sz w:val="32"/>
        <w:szCs w:val="32"/>
      </w:rPr>
      <w:t>新北市學習型城市領導人才培力</w:t>
    </w:r>
  </w:p>
  <w:p w14:paraId="6ACF80B3" w14:textId="77777777" w:rsidR="00A762A6" w:rsidRPr="006A7956" w:rsidRDefault="006A7956" w:rsidP="006A7956">
    <w:pPr>
      <w:pStyle w:val="a4"/>
      <w:jc w:val="center"/>
      <w:rPr>
        <w:rFonts w:ascii="標楷體" w:eastAsia="標楷體" w:hAnsi="標楷體"/>
        <w:sz w:val="40"/>
        <w:szCs w:val="32"/>
      </w:rPr>
    </w:pPr>
    <w:r>
      <w:rPr>
        <w:rFonts w:ascii="標楷體" w:eastAsia="標楷體" w:hAnsi="標楷體" w:hint="eastAsia"/>
        <w:sz w:val="32"/>
        <w:szCs w:val="32"/>
      </w:rPr>
      <w:t>各區</w:t>
    </w:r>
    <w:r w:rsidRPr="006A7956">
      <w:rPr>
        <w:rFonts w:ascii="標楷體" w:eastAsia="標楷體" w:hAnsi="標楷體" w:hint="eastAsia"/>
        <w:sz w:val="32"/>
        <w:szCs w:val="32"/>
      </w:rPr>
      <w:t>方案規劃修正</w:t>
    </w:r>
    <w:r>
      <w:rPr>
        <w:rFonts w:ascii="標楷體" w:eastAsia="標楷體" w:hAnsi="標楷體" w:hint="eastAsia"/>
        <w:sz w:val="32"/>
        <w:szCs w:val="32"/>
      </w:rPr>
      <w:t>建議表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721B"/>
    <w:multiLevelType w:val="hybridMultilevel"/>
    <w:tmpl w:val="F68608C8"/>
    <w:lvl w:ilvl="0" w:tplc="4D02A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47E5BBB"/>
    <w:multiLevelType w:val="hybridMultilevel"/>
    <w:tmpl w:val="ABDCA6AC"/>
    <w:lvl w:ilvl="0" w:tplc="F74A71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11746124">
    <w:abstractNumId w:val="1"/>
  </w:num>
  <w:num w:numId="2" w16cid:durableId="66481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F"/>
    <w:rsid w:val="000D0EAD"/>
    <w:rsid w:val="000F30B2"/>
    <w:rsid w:val="00121F52"/>
    <w:rsid w:val="001403B6"/>
    <w:rsid w:val="0018093B"/>
    <w:rsid w:val="00190036"/>
    <w:rsid w:val="001D4336"/>
    <w:rsid w:val="002429FD"/>
    <w:rsid w:val="00277AC5"/>
    <w:rsid w:val="002C51AB"/>
    <w:rsid w:val="00326EFB"/>
    <w:rsid w:val="0035209C"/>
    <w:rsid w:val="00362E56"/>
    <w:rsid w:val="003B49C0"/>
    <w:rsid w:val="0042603F"/>
    <w:rsid w:val="004618D5"/>
    <w:rsid w:val="005659A6"/>
    <w:rsid w:val="005C141F"/>
    <w:rsid w:val="00663A14"/>
    <w:rsid w:val="006A7956"/>
    <w:rsid w:val="006B704C"/>
    <w:rsid w:val="0079203D"/>
    <w:rsid w:val="007B68E0"/>
    <w:rsid w:val="0081045C"/>
    <w:rsid w:val="0083396C"/>
    <w:rsid w:val="008D5E61"/>
    <w:rsid w:val="00906B05"/>
    <w:rsid w:val="00921644"/>
    <w:rsid w:val="00973DD6"/>
    <w:rsid w:val="009A30AA"/>
    <w:rsid w:val="009D57B8"/>
    <w:rsid w:val="00A169C0"/>
    <w:rsid w:val="00A63DB8"/>
    <w:rsid w:val="00A67B48"/>
    <w:rsid w:val="00A762A6"/>
    <w:rsid w:val="00AA11D9"/>
    <w:rsid w:val="00AA3A51"/>
    <w:rsid w:val="00AB4934"/>
    <w:rsid w:val="00B02A4D"/>
    <w:rsid w:val="00B32DC4"/>
    <w:rsid w:val="00B42CFB"/>
    <w:rsid w:val="00C67790"/>
    <w:rsid w:val="00C852F5"/>
    <w:rsid w:val="00C85A03"/>
    <w:rsid w:val="00CB66ED"/>
    <w:rsid w:val="00CC6591"/>
    <w:rsid w:val="00D262CB"/>
    <w:rsid w:val="00D87AC3"/>
    <w:rsid w:val="00E34298"/>
    <w:rsid w:val="00E40D91"/>
    <w:rsid w:val="00E47E6F"/>
    <w:rsid w:val="00EA3571"/>
    <w:rsid w:val="00ED2792"/>
    <w:rsid w:val="00EE330A"/>
    <w:rsid w:val="00F0345F"/>
    <w:rsid w:val="00F14328"/>
    <w:rsid w:val="00FA611E"/>
    <w:rsid w:val="00FB0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9746D"/>
  <w15:docId w15:val="{3C52DE18-17A2-4C7F-A80B-0A630243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87AC3"/>
    <w:pPr>
      <w:tabs>
        <w:tab w:val="center" w:pos="4153"/>
        <w:tab w:val="right" w:pos="8306"/>
      </w:tabs>
      <w:snapToGrid w:val="0"/>
    </w:pPr>
    <w:rPr>
      <w:sz w:val="20"/>
      <w:szCs w:val="20"/>
    </w:rPr>
  </w:style>
  <w:style w:type="character" w:customStyle="1" w:styleId="a5">
    <w:name w:val="頁首 字元"/>
    <w:basedOn w:val="a0"/>
    <w:link w:val="a4"/>
    <w:uiPriority w:val="99"/>
    <w:rsid w:val="00D87AC3"/>
    <w:rPr>
      <w:sz w:val="20"/>
      <w:szCs w:val="20"/>
    </w:rPr>
  </w:style>
  <w:style w:type="paragraph" w:styleId="a6">
    <w:name w:val="footer"/>
    <w:basedOn w:val="a"/>
    <w:link w:val="a7"/>
    <w:uiPriority w:val="99"/>
    <w:unhideWhenUsed/>
    <w:rsid w:val="00D87AC3"/>
    <w:pPr>
      <w:tabs>
        <w:tab w:val="center" w:pos="4153"/>
        <w:tab w:val="right" w:pos="8306"/>
      </w:tabs>
      <w:snapToGrid w:val="0"/>
    </w:pPr>
    <w:rPr>
      <w:sz w:val="20"/>
      <w:szCs w:val="20"/>
    </w:rPr>
  </w:style>
  <w:style w:type="character" w:customStyle="1" w:styleId="a7">
    <w:name w:val="頁尾 字元"/>
    <w:basedOn w:val="a0"/>
    <w:link w:val="a6"/>
    <w:uiPriority w:val="99"/>
    <w:rsid w:val="00D87AC3"/>
    <w:rPr>
      <w:sz w:val="20"/>
      <w:szCs w:val="20"/>
    </w:rPr>
  </w:style>
  <w:style w:type="paragraph" w:styleId="a8">
    <w:name w:val="List Paragraph"/>
    <w:basedOn w:val="a"/>
    <w:uiPriority w:val="34"/>
    <w:qFormat/>
    <w:rsid w:val="00A63DB8"/>
    <w:pPr>
      <w:ind w:leftChars="200" w:left="480"/>
    </w:pPr>
  </w:style>
  <w:style w:type="paragraph" w:styleId="a9">
    <w:name w:val="Balloon Text"/>
    <w:basedOn w:val="a"/>
    <w:link w:val="aa"/>
    <w:uiPriority w:val="99"/>
    <w:semiHidden/>
    <w:unhideWhenUsed/>
    <w:rsid w:val="001403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403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34D6-1E09-4B84-A2A1-BCE1696D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linjc43@gmail.com</cp:lastModifiedBy>
  <cp:revision>2</cp:revision>
  <cp:lastPrinted>2022-07-06T06:05:00Z</cp:lastPrinted>
  <dcterms:created xsi:type="dcterms:W3CDTF">2022-07-26T08:30:00Z</dcterms:created>
  <dcterms:modified xsi:type="dcterms:W3CDTF">2022-07-26T08:30:00Z</dcterms:modified>
</cp:coreProperties>
</file>