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44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20"/>
        <w:gridCol w:w="3828"/>
        <w:gridCol w:w="3794"/>
      </w:tblGrid>
      <w:tr w:rsidR="006A7956" w:rsidRPr="00906B05" w:rsidTr="006A7956">
        <w:trPr>
          <w:cantSplit/>
          <w:trHeight w:val="857"/>
        </w:trPr>
        <w:tc>
          <w:tcPr>
            <w:tcW w:w="2820" w:type="dxa"/>
            <w:vAlign w:val="center"/>
          </w:tcPr>
          <w:p w:rsidR="006A7956" w:rsidRPr="006A7956" w:rsidRDefault="006A7956" w:rsidP="006A7956">
            <w:pPr>
              <w:jc w:val="center"/>
              <w:rPr>
                <w:rFonts w:ascii="標楷體" w:eastAsia="標楷體" w:hAnsi="標楷體"/>
                <w:sz w:val="32"/>
                <w:szCs w:val="32"/>
              </w:rPr>
            </w:pPr>
            <w:r w:rsidRPr="006A7956">
              <w:rPr>
                <w:rFonts w:ascii="標楷體" w:eastAsia="標楷體" w:hAnsi="標楷體" w:hint="eastAsia"/>
                <w:sz w:val="32"/>
                <w:szCs w:val="32"/>
              </w:rPr>
              <w:t>日期：</w:t>
            </w:r>
            <w:r>
              <w:rPr>
                <w:rFonts w:ascii="標楷體" w:eastAsia="標楷體" w:hAnsi="標楷體" w:hint="eastAsia"/>
                <w:sz w:val="32"/>
                <w:szCs w:val="32"/>
              </w:rPr>
              <w:t>1</w:t>
            </w:r>
            <w:r>
              <w:rPr>
                <w:rFonts w:ascii="標楷體" w:eastAsia="標楷體" w:hAnsi="標楷體"/>
                <w:sz w:val="32"/>
                <w:szCs w:val="32"/>
              </w:rPr>
              <w:t>11/0</w:t>
            </w:r>
            <w:r w:rsidR="00DC5C56">
              <w:rPr>
                <w:rFonts w:ascii="標楷體" w:eastAsia="標楷體" w:hAnsi="標楷體"/>
                <w:sz w:val="32"/>
                <w:szCs w:val="32"/>
              </w:rPr>
              <w:t>8</w:t>
            </w:r>
            <w:r>
              <w:rPr>
                <w:rFonts w:ascii="標楷體" w:eastAsia="標楷體" w:hAnsi="標楷體"/>
                <w:sz w:val="32"/>
                <w:szCs w:val="32"/>
              </w:rPr>
              <w:t>/</w:t>
            </w:r>
            <w:r w:rsidR="005C6B09">
              <w:rPr>
                <w:rFonts w:ascii="標楷體" w:eastAsia="標楷體" w:hAnsi="標楷體" w:hint="eastAsia"/>
                <w:sz w:val="32"/>
                <w:szCs w:val="32"/>
              </w:rPr>
              <w:t>24</w:t>
            </w:r>
          </w:p>
        </w:tc>
        <w:tc>
          <w:tcPr>
            <w:tcW w:w="3828" w:type="dxa"/>
            <w:vAlign w:val="center"/>
          </w:tcPr>
          <w:p w:rsidR="006A7956" w:rsidRPr="006A7956" w:rsidRDefault="006A7956" w:rsidP="00F0345F">
            <w:pPr>
              <w:jc w:val="center"/>
              <w:rPr>
                <w:rFonts w:ascii="標楷體" w:eastAsia="標楷體" w:hAnsi="標楷體"/>
                <w:sz w:val="32"/>
                <w:szCs w:val="32"/>
              </w:rPr>
            </w:pPr>
            <w:r>
              <w:rPr>
                <w:rFonts w:ascii="標楷體" w:eastAsia="標楷體" w:hAnsi="標楷體" w:hint="eastAsia"/>
                <w:sz w:val="32"/>
                <w:szCs w:val="32"/>
              </w:rPr>
              <w:t>區域：</w:t>
            </w:r>
            <w:r w:rsidR="009617D6">
              <w:rPr>
                <w:rFonts w:ascii="標楷體" w:eastAsia="標楷體" w:hAnsi="標楷體" w:hint="eastAsia"/>
                <w:sz w:val="32"/>
                <w:szCs w:val="32"/>
              </w:rPr>
              <w:t>土城</w:t>
            </w:r>
            <w:r w:rsidR="00DC5C56">
              <w:rPr>
                <w:rFonts w:ascii="標楷體" w:eastAsia="標楷體" w:hAnsi="標楷體" w:hint="eastAsia"/>
                <w:sz w:val="32"/>
                <w:szCs w:val="32"/>
              </w:rPr>
              <w:t>區</w:t>
            </w:r>
          </w:p>
        </w:tc>
        <w:tc>
          <w:tcPr>
            <w:tcW w:w="3794" w:type="dxa"/>
            <w:vAlign w:val="center"/>
          </w:tcPr>
          <w:p w:rsidR="006A7956" w:rsidRPr="006A7956" w:rsidRDefault="006A7956" w:rsidP="006A7956">
            <w:pPr>
              <w:rPr>
                <w:rFonts w:ascii="標楷體" w:eastAsia="標楷體" w:hAnsi="標楷體"/>
                <w:sz w:val="32"/>
                <w:szCs w:val="32"/>
              </w:rPr>
            </w:pPr>
            <w:r>
              <w:rPr>
                <w:rFonts w:ascii="標楷體" w:eastAsia="標楷體" w:hAnsi="標楷體" w:hint="eastAsia"/>
                <w:sz w:val="32"/>
                <w:szCs w:val="32"/>
              </w:rPr>
              <w:t>諮詢委員：</w:t>
            </w:r>
            <w:r w:rsidR="00A3465A">
              <w:rPr>
                <w:rFonts w:ascii="標楷體" w:eastAsia="標楷體" w:hAnsi="標楷體" w:hint="eastAsia"/>
                <w:sz w:val="32"/>
                <w:szCs w:val="32"/>
              </w:rPr>
              <w:t>張德永</w:t>
            </w:r>
            <w:r w:rsidR="004572D3">
              <w:rPr>
                <w:rFonts w:ascii="標楷體" w:eastAsia="標楷體" w:hAnsi="標楷體" w:hint="eastAsia"/>
                <w:sz w:val="32"/>
                <w:szCs w:val="32"/>
              </w:rPr>
              <w:t>委員</w:t>
            </w:r>
          </w:p>
        </w:tc>
      </w:tr>
      <w:tr w:rsidR="006A7956" w:rsidRPr="00906B05" w:rsidTr="006A7956">
        <w:trPr>
          <w:trHeight w:val="13058"/>
        </w:trPr>
        <w:tc>
          <w:tcPr>
            <w:tcW w:w="10442" w:type="dxa"/>
            <w:gridSpan w:val="3"/>
          </w:tcPr>
          <w:p w:rsidR="006A7956" w:rsidRDefault="0079203D" w:rsidP="006A7956">
            <w:pPr>
              <w:spacing w:line="400" w:lineRule="exact"/>
              <w:rPr>
                <w:rFonts w:ascii="標楷體" w:eastAsia="標楷體" w:hAnsi="標楷體"/>
                <w:sz w:val="32"/>
                <w:szCs w:val="32"/>
              </w:rPr>
            </w:pPr>
            <w:r w:rsidRPr="0079203D">
              <w:rPr>
                <w:rFonts w:ascii="標楷體" w:eastAsia="標楷體" w:hAnsi="標楷體" w:hint="eastAsia"/>
                <w:sz w:val="32"/>
                <w:szCs w:val="32"/>
              </w:rPr>
              <w:t>改善與建議：</w:t>
            </w:r>
          </w:p>
          <w:p w:rsidR="007F5955" w:rsidRPr="007F5955" w:rsidRDefault="007F5955" w:rsidP="007F5955">
            <w:pPr>
              <w:pStyle w:val="a8"/>
              <w:numPr>
                <w:ilvl w:val="0"/>
                <w:numId w:val="2"/>
              </w:numPr>
              <w:spacing w:line="400" w:lineRule="exact"/>
              <w:ind w:leftChars="0"/>
              <w:rPr>
                <w:rFonts w:ascii="標楷體" w:eastAsia="標楷體" w:hAnsi="標楷體"/>
                <w:sz w:val="32"/>
                <w:szCs w:val="32"/>
              </w:rPr>
            </w:pPr>
            <w:r w:rsidRPr="007F5955">
              <w:rPr>
                <w:rFonts w:ascii="標楷體" w:eastAsia="標楷體" w:hAnsi="標楷體" w:hint="eastAsia"/>
                <w:sz w:val="32"/>
                <w:szCs w:val="32"/>
              </w:rPr>
              <w:t>掌握健康、韌性、智慧、移居等四大學習型城市理念，在土城區的整體規劃很廣泛，但各類終身學習機構是否分類，並按照對象重點進行特性及需求評估，值得再深思。</w:t>
            </w:r>
          </w:p>
          <w:p w:rsidR="007F5955" w:rsidRDefault="007F5955" w:rsidP="007F5955">
            <w:pPr>
              <w:pStyle w:val="a8"/>
              <w:numPr>
                <w:ilvl w:val="0"/>
                <w:numId w:val="2"/>
              </w:numPr>
              <w:spacing w:line="400" w:lineRule="exact"/>
              <w:ind w:leftChars="0"/>
              <w:rPr>
                <w:rFonts w:ascii="標楷體" w:eastAsia="標楷體" w:hAnsi="標楷體"/>
                <w:sz w:val="32"/>
                <w:szCs w:val="32"/>
              </w:rPr>
            </w:pPr>
            <w:r>
              <w:rPr>
                <w:rFonts w:ascii="標楷體" w:eastAsia="標楷體" w:hAnsi="標楷體" w:hint="eastAsia"/>
                <w:sz w:val="32"/>
                <w:szCs w:val="32"/>
              </w:rPr>
              <w:t>整體計畫之推動可從對象、機構、問題、需求、資源盤點，以及提供課程服務方案等系統模式進行分析，以利瞭解本案之主責單位是採取直接服務或是間接服務的方式，以及課程開設之特色或服務的重點。</w:t>
            </w:r>
          </w:p>
          <w:p w:rsidR="007F5955" w:rsidRDefault="007F5955" w:rsidP="007F5955">
            <w:pPr>
              <w:pStyle w:val="a8"/>
              <w:numPr>
                <w:ilvl w:val="0"/>
                <w:numId w:val="2"/>
              </w:numPr>
              <w:spacing w:line="400" w:lineRule="exact"/>
              <w:ind w:leftChars="0"/>
              <w:rPr>
                <w:rFonts w:ascii="標楷體" w:eastAsia="標楷體" w:hAnsi="標楷體"/>
                <w:sz w:val="32"/>
                <w:szCs w:val="32"/>
              </w:rPr>
            </w:pPr>
            <w:r>
              <w:rPr>
                <w:rFonts w:ascii="標楷體" w:eastAsia="標楷體" w:hAnsi="標楷體" w:hint="eastAsia"/>
                <w:sz w:val="32"/>
                <w:szCs w:val="32"/>
              </w:rPr>
              <w:t>相關課程如何招生，和現有相關各類終身學習課程如何統整或區隔，宜審慎評估。</w:t>
            </w:r>
          </w:p>
          <w:p w:rsidR="007F5955" w:rsidRDefault="007F5955" w:rsidP="007F5955">
            <w:pPr>
              <w:pStyle w:val="a8"/>
              <w:numPr>
                <w:ilvl w:val="0"/>
                <w:numId w:val="2"/>
              </w:numPr>
              <w:spacing w:line="400" w:lineRule="exact"/>
              <w:ind w:leftChars="0"/>
              <w:rPr>
                <w:rFonts w:ascii="標楷體" w:eastAsia="標楷體" w:hAnsi="標楷體"/>
                <w:sz w:val="32"/>
                <w:szCs w:val="32"/>
              </w:rPr>
            </w:pPr>
            <w:r>
              <w:rPr>
                <w:rFonts w:ascii="標楷體" w:eastAsia="標楷體" w:hAnsi="標楷體" w:hint="eastAsia"/>
                <w:sz w:val="32"/>
                <w:szCs w:val="32"/>
              </w:rPr>
              <w:t>若是免費課程，是否招生不一定比較有利，可否考慮以「保證金」方式或其他獎勵措施來提升招生率。</w:t>
            </w:r>
          </w:p>
          <w:p w:rsidR="007F5955" w:rsidRDefault="007F5955" w:rsidP="007F5955">
            <w:pPr>
              <w:pStyle w:val="a8"/>
              <w:numPr>
                <w:ilvl w:val="0"/>
                <w:numId w:val="2"/>
              </w:numPr>
              <w:spacing w:line="400" w:lineRule="exact"/>
              <w:ind w:leftChars="0"/>
              <w:rPr>
                <w:rFonts w:ascii="標楷體" w:eastAsia="標楷體" w:hAnsi="標楷體"/>
                <w:sz w:val="32"/>
                <w:szCs w:val="32"/>
              </w:rPr>
            </w:pPr>
            <w:r>
              <w:rPr>
                <w:rFonts w:ascii="標楷體" w:eastAsia="標楷體" w:hAnsi="標楷體" w:hint="eastAsia"/>
                <w:sz w:val="32"/>
                <w:szCs w:val="32"/>
              </w:rPr>
              <w:t>相關課程在推動過程中是否有思考透過各種媒體或教學方式進行終身學習課程或相關諮詢服務，換言之，可將團體、組織、機構等不同模式帶入教學策略，亦可透過學習諮詢服務方式，達到終身學習的效果，以滿足不同需求的終身學習者。</w:t>
            </w:r>
          </w:p>
          <w:p w:rsidR="007F5955" w:rsidRDefault="007F5955" w:rsidP="007F5955">
            <w:pPr>
              <w:pStyle w:val="a8"/>
              <w:numPr>
                <w:ilvl w:val="0"/>
                <w:numId w:val="2"/>
              </w:numPr>
              <w:spacing w:line="400" w:lineRule="exact"/>
              <w:ind w:leftChars="0"/>
              <w:rPr>
                <w:rFonts w:ascii="標楷體" w:eastAsia="標楷體" w:hAnsi="標楷體"/>
                <w:sz w:val="32"/>
                <w:szCs w:val="32"/>
              </w:rPr>
            </w:pPr>
            <w:r>
              <w:rPr>
                <w:rFonts w:ascii="標楷體" w:eastAsia="標楷體" w:hAnsi="標楷體" w:hint="eastAsia"/>
                <w:sz w:val="32"/>
                <w:szCs w:val="32"/>
              </w:rPr>
              <w:t>本案參與機構多、目標多元、課程類別也廣，是否有一個系統的平台，將直接開設、間接開設，或者與其他終身學習機構聯盟合作的課程資訊也呈現在平台之中。</w:t>
            </w:r>
          </w:p>
          <w:p w:rsidR="007F5955" w:rsidRPr="007F5955" w:rsidRDefault="007F5955" w:rsidP="007F5955">
            <w:pPr>
              <w:pStyle w:val="a8"/>
              <w:numPr>
                <w:ilvl w:val="0"/>
                <w:numId w:val="2"/>
              </w:numPr>
              <w:spacing w:line="400" w:lineRule="exact"/>
              <w:ind w:leftChars="0"/>
              <w:rPr>
                <w:rFonts w:ascii="標楷體" w:eastAsia="標楷體" w:hAnsi="標楷體" w:hint="eastAsia"/>
                <w:sz w:val="32"/>
                <w:szCs w:val="32"/>
              </w:rPr>
            </w:pPr>
            <w:r>
              <w:rPr>
                <w:rFonts w:ascii="標楷體" w:eastAsia="標楷體" w:hAnsi="標楷體" w:hint="eastAsia"/>
                <w:sz w:val="32"/>
                <w:szCs w:val="32"/>
              </w:rPr>
              <w:t>相關學習滿意度量表建議不是只有制式的五分量表，建議可以針對個別課程的內涵進行瞭解學習成效，甚至也有質性的意見蒐集。</w:t>
            </w:r>
            <w:bookmarkStart w:id="0" w:name="_GoBack"/>
            <w:bookmarkEnd w:id="0"/>
          </w:p>
        </w:tc>
      </w:tr>
    </w:tbl>
    <w:p w:rsidR="00C852F5" w:rsidRPr="00906B05" w:rsidRDefault="001403B6" w:rsidP="001403B6">
      <w:pPr>
        <w:ind w:right="2160"/>
        <w:rPr>
          <w:rFonts w:ascii="標楷體" w:eastAsia="標楷體" w:hAnsi="標楷體"/>
          <w:b/>
        </w:rPr>
      </w:pPr>
      <w:r w:rsidRPr="00906B05">
        <w:rPr>
          <w:rFonts w:ascii="標楷體" w:eastAsia="標楷體" w:hAnsi="標楷體" w:hint="eastAsia"/>
          <w:b/>
        </w:rPr>
        <w:t xml:space="preserve"> </w:t>
      </w:r>
    </w:p>
    <w:sectPr w:rsidR="00C852F5" w:rsidRPr="00906B05" w:rsidSect="002C51AB">
      <w:headerReference w:type="default" r:id="rId8"/>
      <w:pgSz w:w="11906" w:h="16838"/>
      <w:pgMar w:top="284" w:right="720" w:bottom="284"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930" w:rsidRDefault="005B7930" w:rsidP="00D87AC3">
      <w:r>
        <w:separator/>
      </w:r>
    </w:p>
  </w:endnote>
  <w:endnote w:type="continuationSeparator" w:id="0">
    <w:p w:rsidR="005B7930" w:rsidRDefault="005B7930" w:rsidP="00D8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930" w:rsidRDefault="005B7930" w:rsidP="00D87AC3">
      <w:r>
        <w:separator/>
      </w:r>
    </w:p>
  </w:footnote>
  <w:footnote w:type="continuationSeparator" w:id="0">
    <w:p w:rsidR="005B7930" w:rsidRDefault="005B7930" w:rsidP="00D8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956" w:rsidRDefault="00906B05" w:rsidP="00906B05">
    <w:pPr>
      <w:pStyle w:val="a4"/>
      <w:jc w:val="center"/>
      <w:rPr>
        <w:rFonts w:ascii="標楷體" w:eastAsia="標楷體" w:hAnsi="標楷體"/>
        <w:sz w:val="32"/>
        <w:szCs w:val="32"/>
      </w:rPr>
    </w:pPr>
    <w:proofErr w:type="gramStart"/>
    <w:r w:rsidRPr="006A7956">
      <w:rPr>
        <w:rFonts w:ascii="標楷體" w:eastAsia="標楷體" w:hAnsi="標楷體" w:hint="eastAsia"/>
        <w:sz w:val="32"/>
        <w:szCs w:val="32"/>
      </w:rPr>
      <w:t>11</w:t>
    </w:r>
    <w:r w:rsidR="002C51AB" w:rsidRPr="006A7956">
      <w:rPr>
        <w:rFonts w:ascii="標楷體" w:eastAsia="標楷體" w:hAnsi="標楷體"/>
        <w:sz w:val="32"/>
        <w:szCs w:val="32"/>
      </w:rPr>
      <w:t>1</w:t>
    </w:r>
    <w:proofErr w:type="gramEnd"/>
    <w:r w:rsidR="000D0EAD" w:rsidRPr="006A7956">
      <w:rPr>
        <w:rFonts w:ascii="標楷體" w:eastAsia="標楷體" w:hAnsi="標楷體" w:hint="eastAsia"/>
        <w:sz w:val="32"/>
        <w:szCs w:val="32"/>
      </w:rPr>
      <w:t>年度</w:t>
    </w:r>
    <w:r w:rsidR="006A7956" w:rsidRPr="006A7956">
      <w:rPr>
        <w:rFonts w:ascii="標楷體" w:eastAsia="標楷體" w:hAnsi="標楷體" w:hint="eastAsia"/>
        <w:sz w:val="32"/>
        <w:szCs w:val="32"/>
      </w:rPr>
      <w:t>新北市學習型城市領導人才培力</w:t>
    </w:r>
  </w:p>
  <w:p w:rsidR="00A762A6" w:rsidRPr="006A7956" w:rsidRDefault="006A7956" w:rsidP="006A7956">
    <w:pPr>
      <w:pStyle w:val="a4"/>
      <w:jc w:val="center"/>
      <w:rPr>
        <w:rFonts w:ascii="標楷體" w:eastAsia="標楷體" w:hAnsi="標楷體"/>
        <w:sz w:val="40"/>
        <w:szCs w:val="32"/>
      </w:rPr>
    </w:pPr>
    <w:r>
      <w:rPr>
        <w:rFonts w:ascii="標楷體" w:eastAsia="標楷體" w:hAnsi="標楷體" w:hint="eastAsia"/>
        <w:sz w:val="32"/>
        <w:szCs w:val="32"/>
      </w:rPr>
      <w:t>各區</w:t>
    </w:r>
    <w:r w:rsidRPr="006A7956">
      <w:rPr>
        <w:rFonts w:ascii="標楷體" w:eastAsia="標楷體" w:hAnsi="標楷體" w:hint="eastAsia"/>
        <w:sz w:val="32"/>
        <w:szCs w:val="32"/>
      </w:rPr>
      <w:t>方案規劃修正</w:t>
    </w:r>
    <w:r>
      <w:rPr>
        <w:rFonts w:ascii="標楷體" w:eastAsia="標楷體" w:hAnsi="標楷體" w:hint="eastAsia"/>
        <w:sz w:val="32"/>
        <w:szCs w:val="32"/>
      </w:rPr>
      <w:t>建議表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E5BBB"/>
    <w:multiLevelType w:val="hybridMultilevel"/>
    <w:tmpl w:val="ABDCA6AC"/>
    <w:lvl w:ilvl="0" w:tplc="F74A71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6581073"/>
    <w:multiLevelType w:val="hybridMultilevel"/>
    <w:tmpl w:val="FE22F1D6"/>
    <w:lvl w:ilvl="0" w:tplc="A698B8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5F"/>
    <w:rsid w:val="000774F0"/>
    <w:rsid w:val="000D0EAD"/>
    <w:rsid w:val="000F30B2"/>
    <w:rsid w:val="00121F52"/>
    <w:rsid w:val="001403B6"/>
    <w:rsid w:val="0018093B"/>
    <w:rsid w:val="00190036"/>
    <w:rsid w:val="001D4336"/>
    <w:rsid w:val="00206321"/>
    <w:rsid w:val="002429FD"/>
    <w:rsid w:val="00277AC5"/>
    <w:rsid w:val="002C51AB"/>
    <w:rsid w:val="00326EFB"/>
    <w:rsid w:val="0035209C"/>
    <w:rsid w:val="0042603F"/>
    <w:rsid w:val="004572D3"/>
    <w:rsid w:val="004618D5"/>
    <w:rsid w:val="005659A6"/>
    <w:rsid w:val="005B7930"/>
    <w:rsid w:val="005C141F"/>
    <w:rsid w:val="005C6B09"/>
    <w:rsid w:val="00663A14"/>
    <w:rsid w:val="006A7956"/>
    <w:rsid w:val="006B704C"/>
    <w:rsid w:val="00756071"/>
    <w:rsid w:val="0079203D"/>
    <w:rsid w:val="007B68E0"/>
    <w:rsid w:val="007F5955"/>
    <w:rsid w:val="0081045C"/>
    <w:rsid w:val="0083396C"/>
    <w:rsid w:val="008D5E61"/>
    <w:rsid w:val="00906B05"/>
    <w:rsid w:val="00921644"/>
    <w:rsid w:val="009617D6"/>
    <w:rsid w:val="00973DD6"/>
    <w:rsid w:val="009D57B8"/>
    <w:rsid w:val="00A3465A"/>
    <w:rsid w:val="00A37412"/>
    <w:rsid w:val="00A63DB8"/>
    <w:rsid w:val="00A67B48"/>
    <w:rsid w:val="00A762A6"/>
    <w:rsid w:val="00AA11D9"/>
    <w:rsid w:val="00AA3A51"/>
    <w:rsid w:val="00AB4934"/>
    <w:rsid w:val="00B02A4D"/>
    <w:rsid w:val="00B32DC4"/>
    <w:rsid w:val="00B42CFB"/>
    <w:rsid w:val="00C67790"/>
    <w:rsid w:val="00C852F5"/>
    <w:rsid w:val="00C85A03"/>
    <w:rsid w:val="00CB66ED"/>
    <w:rsid w:val="00CC6591"/>
    <w:rsid w:val="00D262CB"/>
    <w:rsid w:val="00D87AC3"/>
    <w:rsid w:val="00DC5C56"/>
    <w:rsid w:val="00DE7D9A"/>
    <w:rsid w:val="00E34298"/>
    <w:rsid w:val="00E40D91"/>
    <w:rsid w:val="00E47E6F"/>
    <w:rsid w:val="00EA3571"/>
    <w:rsid w:val="00F0345F"/>
    <w:rsid w:val="00F14328"/>
    <w:rsid w:val="00FA61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F9B66"/>
  <w15:docId w15:val="{3C52DE18-17A2-4C7F-A80B-0A630243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7AC3"/>
    <w:pPr>
      <w:tabs>
        <w:tab w:val="center" w:pos="4153"/>
        <w:tab w:val="right" w:pos="8306"/>
      </w:tabs>
      <w:snapToGrid w:val="0"/>
    </w:pPr>
    <w:rPr>
      <w:sz w:val="20"/>
      <w:szCs w:val="20"/>
    </w:rPr>
  </w:style>
  <w:style w:type="character" w:customStyle="1" w:styleId="a5">
    <w:name w:val="頁首 字元"/>
    <w:basedOn w:val="a0"/>
    <w:link w:val="a4"/>
    <w:uiPriority w:val="99"/>
    <w:rsid w:val="00D87AC3"/>
    <w:rPr>
      <w:sz w:val="20"/>
      <w:szCs w:val="20"/>
    </w:rPr>
  </w:style>
  <w:style w:type="paragraph" w:styleId="a6">
    <w:name w:val="footer"/>
    <w:basedOn w:val="a"/>
    <w:link w:val="a7"/>
    <w:uiPriority w:val="99"/>
    <w:unhideWhenUsed/>
    <w:rsid w:val="00D87AC3"/>
    <w:pPr>
      <w:tabs>
        <w:tab w:val="center" w:pos="4153"/>
        <w:tab w:val="right" w:pos="8306"/>
      </w:tabs>
      <w:snapToGrid w:val="0"/>
    </w:pPr>
    <w:rPr>
      <w:sz w:val="20"/>
      <w:szCs w:val="20"/>
    </w:rPr>
  </w:style>
  <w:style w:type="character" w:customStyle="1" w:styleId="a7">
    <w:name w:val="頁尾 字元"/>
    <w:basedOn w:val="a0"/>
    <w:link w:val="a6"/>
    <w:uiPriority w:val="99"/>
    <w:rsid w:val="00D87AC3"/>
    <w:rPr>
      <w:sz w:val="20"/>
      <w:szCs w:val="20"/>
    </w:rPr>
  </w:style>
  <w:style w:type="paragraph" w:styleId="a8">
    <w:name w:val="List Paragraph"/>
    <w:basedOn w:val="a"/>
    <w:uiPriority w:val="34"/>
    <w:qFormat/>
    <w:rsid w:val="00A63DB8"/>
    <w:pPr>
      <w:ind w:leftChars="200" w:left="480"/>
    </w:pPr>
  </w:style>
  <w:style w:type="paragraph" w:styleId="a9">
    <w:name w:val="Balloon Text"/>
    <w:basedOn w:val="a"/>
    <w:link w:val="aa"/>
    <w:uiPriority w:val="99"/>
    <w:semiHidden/>
    <w:unhideWhenUsed/>
    <w:rsid w:val="001403B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03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E602-666B-4B20-B297-F558D9F6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張德永</cp:lastModifiedBy>
  <cp:revision>10</cp:revision>
  <cp:lastPrinted>2022-07-06T06:05:00Z</cp:lastPrinted>
  <dcterms:created xsi:type="dcterms:W3CDTF">2022-07-25T09:25:00Z</dcterms:created>
  <dcterms:modified xsi:type="dcterms:W3CDTF">2022-08-24T02:48:00Z</dcterms:modified>
</cp:coreProperties>
</file>